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margin" w:tblpY="8"/>
        <w:tblW w:w="9762" w:type="dxa"/>
        <w:tblInd w:w="0" w:type="dxa"/>
        <w:tblLayout w:type="autofit"/>
        <w:tblCellMar>
          <w:top w:w="0" w:type="dxa"/>
          <w:left w:w="108" w:type="dxa"/>
          <w:bottom w:w="0" w:type="dxa"/>
          <w:right w:w="108" w:type="dxa"/>
        </w:tblCellMar>
      </w:tblPr>
      <w:tblGrid>
        <w:gridCol w:w="3227"/>
        <w:gridCol w:w="6535"/>
      </w:tblGrid>
      <w:tr>
        <w:tblPrEx>
          <w:tblCellMar>
            <w:top w:w="0" w:type="dxa"/>
            <w:left w:w="108" w:type="dxa"/>
            <w:bottom w:w="0" w:type="dxa"/>
            <w:right w:w="108" w:type="dxa"/>
          </w:tblCellMar>
        </w:tblPrEx>
        <w:trPr>
          <w:trHeight w:val="648" w:hRule="atLeast"/>
        </w:trPr>
        <w:tc>
          <w:tcPr>
            <w:tcW w:w="3227" w:type="dxa"/>
            <w:shd w:val="clear" w:color="auto" w:fill="auto"/>
          </w:tcPr>
          <w:p>
            <w:pPr>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ỦY BAN NHÂN DÂN</w:t>
            </w:r>
          </w:p>
          <w:p>
            <w:pPr>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PHƯỜNG THỦY VÂN</w:t>
            </w:r>
          </w:p>
          <w:p>
            <w:pPr>
              <w:jc w:val="center"/>
              <w:rPr>
                <w:b/>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648335</wp:posOffset>
                      </wp:positionH>
                      <wp:positionV relativeFrom="paragraph">
                        <wp:posOffset>11430</wp:posOffset>
                      </wp:positionV>
                      <wp:extent cx="590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05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51.05pt;margin-top:0.9pt;height:0pt;width:46.5pt;z-index:251660288;mso-width-relative:page;mso-height-relative:page;" filled="f" stroked="t" coordsize="21600,21600" o:gfxdata="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cd&#10;DjbSAAAABwEAAA8AAAAAAAAAAQAgAAAAIgAAAGRycy9kb3ducmV2LnhtbFBLAQIUABQAAAAIAIdO&#10;4kBkWnJK8AEAAPYDAAAOAAAAAAAAAAEAIAAAACEBAABkcnMvZTJvRG9jLnhtbFBLBQYAAAAABgAG&#10;AFkBAACDBQAAAAA=&#10;">
                      <v:fill on="f" focussize="0,0"/>
                      <v:stroke color="#000000" joinstyle="round"/>
                      <v:imagedata o:title=""/>
                      <o:lock v:ext="edit" aspectratio="f"/>
                    </v:line>
                  </w:pict>
                </mc:Fallback>
              </mc:AlternateContent>
            </w:r>
          </w:p>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Số:  175/BC</w:t>
            </w:r>
            <w:r>
              <w:rPr>
                <w:color w:val="000000" w:themeColor="text1"/>
                <w:sz w:val="28"/>
                <w:szCs w:val="28"/>
                <w:lang w:val="vi-VN"/>
                <w14:textFill>
                  <w14:solidFill>
                    <w14:schemeClr w14:val="tx1"/>
                  </w14:solidFill>
                </w14:textFill>
              </w:rPr>
              <w:t>-</w:t>
            </w:r>
            <w:r>
              <w:rPr>
                <w:color w:val="000000" w:themeColor="text1"/>
                <w:sz w:val="28"/>
                <w:szCs w:val="28"/>
                <w14:textFill>
                  <w14:solidFill>
                    <w14:schemeClr w14:val="tx1"/>
                  </w14:solidFill>
                </w14:textFill>
              </w:rPr>
              <w:t xml:space="preserve">UBND </w:t>
            </w:r>
          </w:p>
          <w:p>
            <w:pPr>
              <w:jc w:val="center"/>
              <w:rPr>
                <w:b/>
                <w:color w:val="000000" w:themeColor="text1"/>
                <w:sz w:val="28"/>
                <w:szCs w:val="28"/>
                <w14:textFill>
                  <w14:solidFill>
                    <w14:schemeClr w14:val="tx1"/>
                  </w14:solidFill>
                </w14:textFill>
              </w:rPr>
            </w:pPr>
          </w:p>
        </w:tc>
        <w:tc>
          <w:tcPr>
            <w:tcW w:w="6535" w:type="dxa"/>
            <w:shd w:val="clear" w:color="auto" w:fill="auto"/>
          </w:tcPr>
          <w:p>
            <w:pP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 xml:space="preserve">    CỘNG HÒA XÃ HỘI CHỦ NGHĨA VIỆT NAM</w:t>
            </w:r>
          </w:p>
          <w:p>
            <w:pPr>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Độc lập – Tự do – Hạnh phúc</w:t>
            </w:r>
          </w:p>
          <w:p>
            <w:pPr>
              <w:jc w:val="center"/>
              <w:rPr>
                <w:b/>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802005</wp:posOffset>
                      </wp:positionH>
                      <wp:positionV relativeFrom="paragraph">
                        <wp:posOffset>11430</wp:posOffset>
                      </wp:positionV>
                      <wp:extent cx="2247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479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63.15pt;margin-top:0.9pt;height:0pt;width:177pt;z-index:251661312;mso-width-relative:page;mso-height-relative:page;" filled="f" stroked="t" coordsize="21600,21600" o:gfxdata="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MI5E9MAAAAHAQAADwAAAAAAAAABACAAAAAiAAAAZHJzL2Rvd25yZXYueG1sUEsBAhQAFAAAAAgA&#10;h07iQJ0nr6HxAQAA9wMAAA4AAAAAAAAAAQAgAAAAIgEAAGRycy9lMm9Eb2MueG1sUEsFBgAAAAAG&#10;AAYAWQEAAIUFAAAAAA==&#10;">
                      <v:fill on="f" focussize="0,0"/>
                      <v:stroke color="#000000" joinstyle="round"/>
                      <v:imagedata o:title=""/>
                      <o:lock v:ext="edit" aspectratio="f"/>
                    </v:line>
                  </w:pict>
                </mc:Fallback>
              </mc:AlternateContent>
            </w:r>
          </w:p>
          <w:p>
            <w:pPr>
              <w:jc w:val="center"/>
              <w:rPr>
                <w:i/>
                <w:color w:val="000000" w:themeColor="text1"/>
                <w:sz w:val="28"/>
                <w:szCs w:val="28"/>
                <w14:textFill>
                  <w14:solidFill>
                    <w14:schemeClr w14:val="tx1"/>
                  </w14:solidFill>
                </w14:textFill>
              </w:rPr>
            </w:pPr>
            <w:r>
              <w:rPr>
                <w:i/>
                <w:color w:val="000000" w:themeColor="text1"/>
                <w:sz w:val="28"/>
                <w:szCs w:val="28"/>
                <w14:textFill>
                  <w14:solidFill>
                    <w14:schemeClr w14:val="tx1"/>
                  </w14:solidFill>
                </w14:textFill>
              </w:rPr>
              <w:t>Thủy Vân, ngày 05  tháng 9 năm 20</w:t>
            </w:r>
            <w:r>
              <w:rPr>
                <w:i/>
                <w:color w:val="000000" w:themeColor="text1"/>
                <w:sz w:val="28"/>
                <w:szCs w:val="28"/>
                <w:lang w:val="vi-VN"/>
                <w14:textFill>
                  <w14:solidFill>
                    <w14:schemeClr w14:val="tx1"/>
                  </w14:solidFill>
                </w14:textFill>
              </w:rPr>
              <w:t>2</w:t>
            </w:r>
            <w:r>
              <w:rPr>
                <w:i/>
                <w:color w:val="000000" w:themeColor="text1"/>
                <w:sz w:val="28"/>
                <w:szCs w:val="28"/>
                <w14:textFill>
                  <w14:solidFill>
                    <w14:schemeClr w14:val="tx1"/>
                  </w14:solidFill>
                </w14:textFill>
              </w:rPr>
              <w:t>2</w:t>
            </w:r>
          </w:p>
          <w:p>
            <w:pPr>
              <w:jc w:val="center"/>
              <w:rPr>
                <w:i/>
                <w:color w:val="000000" w:themeColor="text1"/>
                <w:sz w:val="28"/>
                <w:szCs w:val="28"/>
                <w14:textFill>
                  <w14:solidFill>
                    <w14:schemeClr w14:val="tx1"/>
                  </w14:solidFill>
                </w14:textFill>
              </w:rPr>
            </w:pPr>
          </w:p>
        </w:tc>
      </w:tr>
    </w:tbl>
    <w:p>
      <w:pPr>
        <w:rPr>
          <w:color w:val="000000" w:themeColor="text1"/>
          <w14:textFill>
            <w14:solidFill>
              <w14:schemeClr w14:val="tx1"/>
            </w14:solidFill>
          </w14:textFill>
        </w:rPr>
      </w:pPr>
    </w:p>
    <w:tbl>
      <w:tblPr>
        <w:tblStyle w:val="3"/>
        <w:tblW w:w="10704" w:type="dxa"/>
        <w:tblInd w:w="0" w:type="dxa"/>
        <w:tblLayout w:type="fixed"/>
        <w:tblCellMar>
          <w:top w:w="0" w:type="dxa"/>
          <w:left w:w="108" w:type="dxa"/>
          <w:bottom w:w="0" w:type="dxa"/>
          <w:right w:w="108" w:type="dxa"/>
        </w:tblCellMar>
      </w:tblPr>
      <w:tblGrid>
        <w:gridCol w:w="9606"/>
        <w:gridCol w:w="1098"/>
      </w:tblGrid>
      <w:tr>
        <w:tblPrEx>
          <w:tblCellMar>
            <w:top w:w="0" w:type="dxa"/>
            <w:left w:w="108" w:type="dxa"/>
            <w:bottom w:w="0" w:type="dxa"/>
            <w:right w:w="108" w:type="dxa"/>
          </w:tblCellMar>
        </w:tblPrEx>
        <w:trPr>
          <w:trHeight w:val="5742" w:hRule="atLeast"/>
        </w:trPr>
        <w:tc>
          <w:tcPr>
            <w:tcW w:w="9606" w:type="dxa"/>
          </w:tcPr>
          <w:p>
            <w:pPr>
              <w:jc w:val="center"/>
              <w:rPr>
                <w:b/>
                <w:color w:val="000000" w:themeColor="text1"/>
                <w:sz w:val="18"/>
                <w:szCs w:val="28"/>
                <w14:textFill>
                  <w14:solidFill>
                    <w14:schemeClr w14:val="tx1"/>
                  </w14:solidFill>
                </w14:textFill>
              </w:rPr>
            </w:pPr>
          </w:p>
          <w:p>
            <w:pPr>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BÁO CÁO</w:t>
            </w:r>
            <w:bookmarkStart w:id="0" w:name="_GoBack"/>
            <w:bookmarkEnd w:id="0"/>
          </w:p>
          <w:p>
            <w:pPr>
              <w:ind w:firstLine="540"/>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Công tác kiểm soát thủ tục hành chính Qúy III năm 2022</w:t>
            </w:r>
          </w:p>
          <w:p>
            <w:pPr>
              <w:ind w:firstLine="540"/>
              <w:jc w:val="both"/>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2261870</wp:posOffset>
                      </wp:positionH>
                      <wp:positionV relativeFrom="paragraph">
                        <wp:posOffset>13335</wp:posOffset>
                      </wp:positionV>
                      <wp:extent cx="1390650" cy="0"/>
                      <wp:effectExtent l="0" t="0" r="19050" b="19050"/>
                      <wp:wrapNone/>
                      <wp:docPr id="1" name="Straight Connector 1"/>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78.1pt;margin-top:1.05pt;height:0pt;width:109.5pt;z-index:251659264;mso-width-relative:page;mso-height-relative:page;" filled="f" stroked="t" coordsize="21600,21600" o:gfxdata="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bAlatQAAAAHAQAADwAAAAAAAAABACAAAAAiAAAA&#10;ZHJzL2Rvd25yZXYueG1sUEsBAhQAFAAAAAgAh07iQBDf6cHSAQAArQMAAA4AAAAAAAAAAQAgAAAA&#10;IwEAAGRycy9lMm9Eb2MueG1sUEsFBgAAAAAGAAYAWQEAAGcFAAAAAA==&#10;">
                      <v:fill on="f" focussize="0,0"/>
                      <v:stroke color="#000000" joinstyle="round"/>
                      <v:imagedata o:title=""/>
                      <o:lock v:ext="edit" aspectratio="f"/>
                    </v:line>
                  </w:pict>
                </mc:Fallback>
              </mc:AlternateContent>
            </w:r>
          </w:p>
          <w:p>
            <w:pPr>
              <w:spacing w:before="60" w:after="60"/>
              <w:ind w:firstLine="540"/>
              <w:jc w:val="both"/>
              <w:rPr>
                <w:color w:val="000000" w:themeColor="text1"/>
                <w:sz w:val="28"/>
                <w:szCs w:val="28"/>
                <w14:textFill>
                  <w14:solidFill>
                    <w14:schemeClr w14:val="tx1"/>
                  </w14:solidFill>
                </w14:textFill>
              </w:rPr>
            </w:pPr>
            <w:r>
              <w:rPr>
                <w:color w:val="000000" w:themeColor="text1"/>
                <w:sz w:val="28"/>
                <w14:textFill>
                  <w14:solidFill>
                    <w14:schemeClr w14:val="tx1"/>
                  </w14:solidFill>
                </w14:textFill>
              </w:rPr>
              <w:t xml:space="preserve">Thực hiện </w:t>
            </w:r>
            <w:r>
              <w:rPr>
                <w:color w:val="000000" w:themeColor="text1"/>
                <w:sz w:val="28"/>
                <w:lang w:val="vi-VN"/>
                <w14:textFill>
                  <w14:solidFill>
                    <w14:schemeClr w14:val="tx1"/>
                  </w14:solidFill>
                </w14:textFill>
              </w:rPr>
              <w:t>công văn số 114/PNV-CCHC ngày 01/3/2022 của phòng Nội vụ về việc thực hiện chế độ báo cáo cải cách hành chính năm 2022</w:t>
            </w:r>
            <w:r>
              <w:rPr>
                <w:color w:val="000000" w:themeColor="text1"/>
                <w:sz w:val="28"/>
                <w:szCs w:val="28"/>
                <w14:textFill>
                  <w14:solidFill>
                    <w14:schemeClr w14:val="tx1"/>
                  </w14:solidFill>
                </w14:textFill>
              </w:rPr>
              <w:t>. UBND phường Thủy Vân báo cáo tình hình và kết quả thực hiện như sau:</w:t>
            </w:r>
          </w:p>
          <w:p>
            <w:pPr>
              <w:spacing w:before="60" w:after="60"/>
              <w:ind w:firstLine="540"/>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I. </w:t>
            </w:r>
            <w:r>
              <w:rPr>
                <w:b/>
                <w:color w:val="000000" w:themeColor="text1"/>
                <w:sz w:val="28"/>
                <w:szCs w:val="28"/>
                <w14:textFill>
                  <w14:solidFill>
                    <w14:schemeClr w14:val="tx1"/>
                  </w14:solidFill>
                </w14:textFill>
              </w:rPr>
              <w:t>Tình hình, kết quả thực hiện kiểm soát thủ tục hành chính.</w:t>
            </w:r>
          </w:p>
          <w:p>
            <w:pPr>
              <w:spacing w:before="60" w:after="60"/>
              <w:ind w:firstLine="540"/>
              <w:jc w:val="both"/>
              <w:rPr>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1. Công tác chỉ đạo điều hành</w:t>
            </w:r>
            <w:r>
              <w:rPr>
                <w:color w:val="000000" w:themeColor="text1"/>
                <w:sz w:val="28"/>
                <w:szCs w:val="28"/>
                <w14:textFill>
                  <w14:solidFill>
                    <w14:schemeClr w14:val="tx1"/>
                  </w14:solidFill>
                </w14:textFill>
              </w:rPr>
              <w:t>.</w:t>
            </w:r>
          </w:p>
          <w:p>
            <w:pPr>
              <w:spacing w:before="60" w:after="60"/>
              <w:ind w:firstLine="540"/>
              <w:jc w:val="both"/>
              <w:rPr>
                <w:color w:val="000000" w:themeColor="text1"/>
                <w:sz w:val="28"/>
                <w:szCs w:val="28"/>
                <w:lang w:val="en-GB"/>
                <w14:textFill>
                  <w14:solidFill>
                    <w14:schemeClr w14:val="tx1"/>
                  </w14:solidFill>
                </w14:textFill>
              </w:rPr>
            </w:pPr>
            <w:r>
              <w:rPr>
                <w:color w:val="000000" w:themeColor="text1"/>
                <w:sz w:val="28"/>
                <w:szCs w:val="28"/>
                <w:lang w:val="en-GB"/>
                <w14:textFill>
                  <w14:solidFill>
                    <w14:schemeClr w14:val="tx1"/>
                  </w14:solidFill>
                </w14:textFill>
              </w:rPr>
              <w:t xml:space="preserve">UBND phường thường xuyên quán triệt và triển khai nội dung Nghị định 63/2010/NĐ-CP ngày 08 tháng 6 năm 2010 của Chính phủ về kiểm soát thủ tục hành chính và Thông tư số 02/2017 ngày 31/10/2017 đến từng bộ phận liên quan.                </w:t>
            </w:r>
          </w:p>
          <w:p>
            <w:pPr>
              <w:spacing w:before="60" w:after="60"/>
              <w:ind w:firstLine="540"/>
              <w:jc w:val="both"/>
              <w:rPr>
                <w:color w:val="000000" w:themeColor="text1"/>
                <w:sz w:val="28"/>
                <w:szCs w:val="28"/>
                <w:lang w:val="en-GB"/>
                <w14:textFill>
                  <w14:solidFill>
                    <w14:schemeClr w14:val="tx1"/>
                  </w14:solidFill>
                </w14:textFill>
              </w:rPr>
            </w:pPr>
            <w:r>
              <w:rPr>
                <w:color w:val="000000" w:themeColor="text1"/>
                <w:sz w:val="28"/>
                <w:szCs w:val="28"/>
                <w:lang w:val="en-GB"/>
                <w14:textFill>
                  <w14:solidFill>
                    <w14:schemeClr w14:val="tx1"/>
                  </w14:solidFill>
                </w14:textFill>
              </w:rPr>
              <w:t>UBND phường đã ban hành kế hoạch số 36/KH-UBND, ngày 31/12/2021 về việc kiểm soát TTHC, để thực hiện công tác kiểm soát thủ tục hành chính năm 2022 tại UBND phường.</w:t>
            </w:r>
          </w:p>
          <w:p>
            <w:pPr>
              <w:spacing w:before="60" w:after="60"/>
              <w:ind w:firstLine="570"/>
              <w:jc w:val="both"/>
              <w:rPr>
                <w:b/>
                <w:color w:val="000000" w:themeColor="text1"/>
                <w:sz w:val="28"/>
                <w:szCs w:val="28"/>
                <w:lang w:val="en-GB"/>
                <w14:textFill>
                  <w14:solidFill>
                    <w14:schemeClr w14:val="tx1"/>
                  </w14:solidFill>
                </w14:textFill>
              </w:rPr>
            </w:pPr>
            <w:r>
              <w:rPr>
                <w:b/>
                <w:color w:val="000000" w:themeColor="text1"/>
                <w:sz w:val="28"/>
                <w:szCs w:val="28"/>
                <w:lang w:val="en-GB"/>
                <w14:textFill>
                  <w14:solidFill>
                    <w14:schemeClr w14:val="tx1"/>
                  </w14:solidFill>
                </w14:textFill>
              </w:rPr>
              <w:t>2. Việc công bố, niêm yết công khai TTHC.</w:t>
            </w:r>
          </w:p>
          <w:p>
            <w:pPr>
              <w:spacing w:before="60" w:after="60"/>
              <w:ind w:firstLine="540"/>
              <w:jc w:val="both"/>
              <w:rPr>
                <w:b/>
                <w:color w:val="000000" w:themeColor="text1"/>
                <w:sz w:val="28"/>
                <w:szCs w:val="28"/>
                <w:lang w:val="en-GB"/>
                <w14:textFill>
                  <w14:solidFill>
                    <w14:schemeClr w14:val="tx1"/>
                  </w14:solidFill>
                </w14:textFill>
              </w:rPr>
            </w:pPr>
            <w:r>
              <w:rPr>
                <w:color w:val="000000" w:themeColor="text1"/>
                <w:sz w:val="28"/>
                <w:szCs w:val="28"/>
                <w:lang w:val="en-GB"/>
                <w14:textFill>
                  <w14:solidFill>
                    <w14:schemeClr w14:val="tx1"/>
                  </w14:solidFill>
                </w14:textFill>
              </w:rPr>
              <w:t xml:space="preserve">- UBND phường đã chỉ đạo cán bộ làm đầu mối kiểm soát TTHC thực hiện  tổ chức niêm yết công khai các danh mục Thủ tục hành chính thuộc thẩm quyền của UBND phường được UBND tỉnh quy định, tại trụ sở UBND phường và trên trang thông tin điện tử của phường </w:t>
            </w:r>
            <w:r>
              <w:rPr>
                <w:bCs/>
                <w:color w:val="000000" w:themeColor="text1"/>
                <w:sz w:val="28"/>
                <w:szCs w:val="28"/>
                <w14:textFill>
                  <w14:solidFill>
                    <w14:schemeClr w14:val="tx1"/>
                  </w14:solidFill>
                </w14:textFill>
              </w:rPr>
              <w:t xml:space="preserve">, </w:t>
            </w:r>
            <w:r>
              <w:rPr>
                <w:color w:val="000000" w:themeColor="text1"/>
                <w:sz w:val="28"/>
                <w:szCs w:val="28"/>
                <w:lang w:val="en-GB"/>
                <w14:textFill>
                  <w14:solidFill>
                    <w14:schemeClr w14:val="tx1"/>
                  </w14:solidFill>
                </w14:textFill>
              </w:rPr>
              <w:t>đảm bảo điều kiện thuận lợi cho các tổ chức, cá nhân khi đến giao dịch.</w:t>
            </w:r>
            <w:r>
              <w:rPr>
                <w:b/>
                <w:color w:val="000000" w:themeColor="text1"/>
                <w:sz w:val="28"/>
                <w:szCs w:val="28"/>
                <w:lang w:val="en-GB"/>
                <w14:textFill>
                  <w14:solidFill>
                    <w14:schemeClr w14:val="tx1"/>
                  </w14:solidFill>
                </w14:textFill>
              </w:rPr>
              <w:t xml:space="preserve"> </w:t>
            </w:r>
          </w:p>
          <w:p>
            <w:pPr>
              <w:spacing w:before="60" w:after="60"/>
              <w:ind w:firstLine="540"/>
              <w:jc w:val="both"/>
              <w:rPr>
                <w:color w:val="000000" w:themeColor="text1"/>
                <w:sz w:val="28"/>
                <w:szCs w:val="28"/>
                <w14:textFill>
                  <w14:solidFill>
                    <w14:schemeClr w14:val="tx1"/>
                  </w14:solidFill>
                </w14:textFill>
              </w:rPr>
            </w:pPr>
            <w:r>
              <w:rPr>
                <w:color w:val="000000" w:themeColor="text1"/>
                <w:sz w:val="28"/>
                <w:szCs w:val="28"/>
                <w:lang w:val="en-GB"/>
                <w14:textFill>
                  <w14:solidFill>
                    <w14:schemeClr w14:val="tx1"/>
                  </w14:solidFill>
                </w14:textFill>
              </w:rPr>
              <w:t>Ngoài việc niêm yết công khai trực tiếp tại bộ phận tiếp nhận và trả kết quả UBND phường thường xuyên thực hiện việc công bố, công khai TTHC trên trang thông tin điện tử của phường. Đặc biệt là các văn bản mới bổ sung thay thế sửa đổi.</w:t>
            </w:r>
            <w:r>
              <w:rPr>
                <w:b/>
                <w:color w:val="000000" w:themeColor="text1"/>
                <w:sz w:val="28"/>
                <w:szCs w:val="28"/>
                <w:lang w:val="en-GB"/>
                <w14:textFill>
                  <w14:solidFill>
                    <w14:schemeClr w14:val="tx1"/>
                  </w14:solidFill>
                </w14:textFill>
              </w:rPr>
              <w:t xml:space="preserve">  </w:t>
            </w:r>
          </w:p>
          <w:p>
            <w:pPr>
              <w:spacing w:before="60" w:after="60"/>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 Để tiếp thu những phản ánh, kiến nghị của tổ chức, cá nhân đối với các thủ tục hành chính, Uỷ ban nhân dân phường có thông báo về việc công bố số điện thoại để tiếp nhận phản ánh, kiến nghị của tổ chức, cá nhân gửi đến UBND phường Thủy Vân và đã đặt hòm thư góp ý tại Bộ phận Tiếp nhận và trả kết quả.</w:t>
            </w:r>
          </w:p>
          <w:p>
            <w:pPr>
              <w:spacing w:before="60" w:after="60"/>
              <w:jc w:val="both"/>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 xml:space="preserve">   </w:t>
            </w:r>
            <w:r>
              <w:rPr>
                <w:b/>
                <w:bCs/>
                <w:color w:val="000000" w:themeColor="text1"/>
                <w:sz w:val="28"/>
                <w:szCs w:val="28"/>
                <w14:textFill>
                  <w14:solidFill>
                    <w14:schemeClr w14:val="tx1"/>
                  </w14:solidFill>
                </w14:textFill>
              </w:rPr>
              <w:tab/>
            </w:r>
            <w:r>
              <w:rPr>
                <w:b/>
                <w:bCs/>
                <w:color w:val="000000" w:themeColor="text1"/>
                <w:sz w:val="28"/>
                <w:szCs w:val="28"/>
                <w14:textFill>
                  <w14:solidFill>
                    <w14:schemeClr w14:val="tx1"/>
                  </w14:solidFill>
                </w14:textFill>
              </w:rPr>
              <w:t>3. Tình hình, kết quả giải quyết TTHC:</w:t>
            </w:r>
          </w:p>
          <w:p>
            <w:pPr>
              <w:spacing w:before="60" w:after="60"/>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w:t>
            </w:r>
            <w:r>
              <w:rPr>
                <w:bCs/>
                <w:color w:val="000000" w:themeColor="text1"/>
                <w:sz w:val="28"/>
                <w:szCs w:val="28"/>
                <w14:textFill>
                  <w14:solidFill>
                    <w14:schemeClr w14:val="tx1"/>
                  </w14:solidFill>
                </w14:textFill>
              </w:rPr>
              <w:t>Tổng số hồ sơ yêu cầu giải quyết TTHC</w:t>
            </w:r>
            <w:r>
              <w:rPr>
                <w:color w:val="000000" w:themeColor="text1"/>
                <w:sz w:val="28"/>
                <w:szCs w:val="28"/>
                <w14:textFill>
                  <w14:solidFill>
                    <w14:schemeClr w14:val="tx1"/>
                  </w14:solidFill>
                </w14:textFill>
              </w:rPr>
              <w:t xml:space="preserve"> Qúy III năm 2022: Bộ phận Tiếp nhận và trả kết quả phường đã tiếp nhận tổng 1.159 hồ sơ, trong đó: lĩnh vực tư pháp – hộ tịch là 1.092 hồ sơ; lĩnh vực địa chính là 46 hồ sơ; lĩnh vực chính sách - xã hội là 18 hồ sơ; tiếp công dân, xử lý đơn, giải quyết khiếu nại tố cáo 03 đơn; thi đua khen thưởng 01 hồ sơ. Đã giải quyết đúng hạn 1.151 hồ sơ, quá hạn 08 hồ sơ, đạt 99,3%. Lý do: do chờ bổ sung hồ sơ chuyển xác minh nhưng ngành không thực hiện trên hệ thống nên dẫn đến quá hạn.</w:t>
            </w:r>
          </w:p>
          <w:p>
            <w:pPr>
              <w:spacing w:before="60" w:after="60"/>
              <w:ind w:firstLine="540"/>
              <w:jc w:val="both"/>
              <w:rPr>
                <w:b/>
                <w:color w:val="000000" w:themeColor="text1"/>
                <w:sz w:val="28"/>
                <w:szCs w:val="28"/>
                <w:lang w:val="nl-NL"/>
                <w14:textFill>
                  <w14:solidFill>
                    <w14:schemeClr w14:val="tx1"/>
                  </w14:solidFill>
                </w14:textFill>
              </w:rPr>
            </w:pPr>
          </w:p>
          <w:p>
            <w:pPr>
              <w:spacing w:before="60" w:after="60"/>
              <w:ind w:firstLine="540"/>
              <w:jc w:val="both"/>
              <w:rPr>
                <w:b/>
                <w:color w:val="000000" w:themeColor="text1"/>
                <w:sz w:val="28"/>
                <w:szCs w:val="28"/>
                <w:lang w:val="nl-NL"/>
                <w14:textFill>
                  <w14:solidFill>
                    <w14:schemeClr w14:val="tx1"/>
                  </w14:solidFill>
                </w14:textFill>
              </w:rPr>
            </w:pPr>
            <w:r>
              <w:rPr>
                <w:b/>
                <w:color w:val="000000" w:themeColor="text1"/>
                <w:sz w:val="28"/>
                <w:szCs w:val="28"/>
                <w:lang w:val="nl-NL"/>
                <w14:textFill>
                  <w14:solidFill>
                    <w14:schemeClr w14:val="tx1"/>
                  </w14:solidFill>
                </w14:textFill>
              </w:rPr>
              <w:t>4. Công tác tiếp nhận, xử lý phản ánh, kiến nghị về quy định hành chính:</w:t>
            </w:r>
          </w:p>
          <w:p>
            <w:pPr>
              <w:spacing w:before="60" w:after="60"/>
              <w:ind w:firstLine="540"/>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Thực hiện Nghị định 20/2008/NĐ-CP ngày 14 tháng 2 năm 2008 của Chính phủ về tiếp nhận, xử lý phản ánh, kiến nghị của cá nhân, tổ chức về quy định hành chính;  trong quý Ủy ban nhân dân phường không nhận được phản ánh, kiến nghị nào của các tổ chức, cá nhân liên quan đến các quy định hành chính.</w:t>
            </w:r>
          </w:p>
          <w:p>
            <w:pPr>
              <w:spacing w:before="60" w:after="60"/>
              <w:ind w:firstLine="540"/>
              <w:jc w:val="both"/>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 xml:space="preserve">5. Công tác truyền thông hổ trợ hoạt động kiểm soát TTHC: </w:t>
            </w:r>
          </w:p>
          <w:p>
            <w:pPr>
              <w:spacing w:before="60" w:after="60"/>
              <w:ind w:firstLine="720"/>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Ủy ban nhân phường đã ban hành kế hoạch số 07/KH-UBND ngày 11/01/2022 về việc tuyên truyền CCHC nhằm hỗ trợ hoạt động kiểm soát TTHC tại phường.</w:t>
            </w:r>
          </w:p>
          <w:p>
            <w:pPr>
              <w:spacing w:before="60" w:after="60"/>
              <w:ind w:firstLine="720"/>
              <w:jc w:val="both"/>
              <w:rPr>
                <w:bCs/>
                <w:color w:val="000000" w:themeColor="text1"/>
                <w:kern w:val="36"/>
                <w:sz w:val="28"/>
                <w:szCs w:val="28"/>
                <w14:textFill>
                  <w14:solidFill>
                    <w14:schemeClr w14:val="tx1"/>
                  </w14:solidFill>
                </w14:textFill>
              </w:rPr>
            </w:pPr>
            <w:r>
              <w:rPr>
                <w:bCs/>
                <w:color w:val="000000" w:themeColor="text1"/>
                <w:kern w:val="36"/>
                <w:sz w:val="28"/>
                <w:szCs w:val="28"/>
                <w14:textFill>
                  <w14:solidFill>
                    <w14:schemeClr w14:val="tx1"/>
                  </w14:solidFill>
                </w14:textFill>
              </w:rPr>
              <w:t xml:space="preserve">Chỉ đạo công chức tư pháp phường tổ chức hội nghị tuyên truyền pháp luật về cải cách TTHC và tuyên truyền qua đài phát thanh của phường, thời lượng phát sóng 10 phút 02 buổi /tuần.  </w:t>
            </w:r>
          </w:p>
          <w:p>
            <w:pPr>
              <w:spacing w:before="60" w:after="60"/>
              <w:ind w:firstLine="567"/>
              <w:jc w:val="both"/>
              <w:rPr>
                <w:b/>
                <w:color w:val="000000" w:themeColor="text1"/>
                <w:sz w:val="28"/>
                <w:szCs w:val="28"/>
                <w:lang w:val="en-GB"/>
                <w14:textFill>
                  <w14:solidFill>
                    <w14:schemeClr w14:val="tx1"/>
                  </w14:solidFill>
                </w14:textFill>
              </w:rPr>
            </w:pPr>
            <w:r>
              <w:rPr>
                <w:b/>
                <w:color w:val="000000" w:themeColor="text1"/>
                <w:sz w:val="28"/>
                <w:szCs w:val="28"/>
                <w:lang w:val="en-GB"/>
                <w14:textFill>
                  <w14:solidFill>
                    <w14:schemeClr w14:val="tx1"/>
                  </w14:solidFill>
                </w14:textFill>
              </w:rPr>
              <w:t>II. Đánh giá chung:</w:t>
            </w:r>
          </w:p>
          <w:p>
            <w:pPr>
              <w:widowControl w:val="0"/>
              <w:tabs>
                <w:tab w:val="right" w:leader="dot" w:pos="9072"/>
              </w:tabs>
              <w:spacing w:before="60" w:after="60"/>
              <w:ind w:firstLine="540"/>
              <w:jc w:val="both"/>
              <w:rPr>
                <w:color w:val="000000" w:themeColor="text1"/>
                <w:sz w:val="28"/>
                <w:szCs w:val="28"/>
                <w:shd w:val="clear" w:color="auto" w:fill="FFFFFF"/>
                <w14:textFill>
                  <w14:solidFill>
                    <w14:schemeClr w14:val="tx1"/>
                  </w14:solidFill>
                </w14:textFill>
              </w:rPr>
            </w:pPr>
            <w:r>
              <w:rPr>
                <w:color w:val="000000" w:themeColor="text1"/>
                <w:sz w:val="28"/>
                <w:szCs w:val="28"/>
                <w:shd w:val="clear" w:color="auto" w:fill="FFFFFF"/>
                <w14:textFill>
                  <w14:solidFill>
                    <w14:schemeClr w14:val="tx1"/>
                  </w14:solidFill>
                </w14:textFill>
              </w:rPr>
              <w:t xml:space="preserve"> Nhìn chung kết quả công tác kiểm soát TTHC trong thời gian qua đã đạt được những kết quả nổi bật. Công tác chỉ đạo, điều hành kiểm soát TTHC tiếp tục được triển khai thực hiện có hiệu quả. Công tác rà soát văn bản được lãnh đạo cơ quan quan tâm chỉ đạo, đặc biệt là việc kiểm soát thủ tục hành chính theo Nghị định 63/2010/NĐ-CP của Chính phủ. </w:t>
            </w:r>
            <w:r>
              <w:rPr>
                <w:color w:val="000000" w:themeColor="text1"/>
                <w:sz w:val="28"/>
                <w:szCs w:val="28"/>
                <w14:textFill>
                  <w14:solidFill>
                    <w14:schemeClr w14:val="tx1"/>
                  </w14:solidFill>
                </w14:textFill>
              </w:rPr>
              <w:t xml:space="preserve">Đã tổ chức niêm yết công khai đầy đủ các danh mục TTHC giải quyết thuộc thẩm quyền của đơn vị được UBND tỉnh phê duyệt tại trụ sở UBND phường, đảm bảo </w:t>
            </w:r>
            <w:r>
              <w:rPr>
                <w:color w:val="000000" w:themeColor="text1"/>
                <w:sz w:val="28"/>
                <w:szCs w:val="28"/>
                <w:shd w:val="clear" w:color="auto" w:fill="FFFFFF"/>
                <w14:textFill>
                  <w14:solidFill>
                    <w14:schemeClr w14:val="tx1"/>
                  </w14:solidFill>
                </w14:textFill>
              </w:rPr>
              <w:t xml:space="preserve">kịp thời, tạo điều kiện cho các tổ chức, cá nhân đến giải quyết hồ sơ. </w:t>
            </w:r>
          </w:p>
          <w:p>
            <w:pPr>
              <w:widowControl w:val="0"/>
              <w:spacing w:before="60" w:after="60"/>
              <w:ind w:firstLine="540"/>
              <w:jc w:val="both"/>
              <w:rPr>
                <w:color w:val="000000" w:themeColor="text1"/>
                <w:sz w:val="28"/>
                <w:szCs w:val="28"/>
                <w14:textFill>
                  <w14:solidFill>
                    <w14:schemeClr w14:val="tx1"/>
                  </w14:solidFill>
                </w14:textFill>
              </w:rPr>
            </w:pPr>
            <w:r>
              <w:rPr>
                <w:color w:val="000000" w:themeColor="text1"/>
                <w:sz w:val="28"/>
                <w:szCs w:val="28"/>
                <w:lang w:val="en-GB"/>
                <w14:textFill>
                  <w14:solidFill>
                    <w14:schemeClr w14:val="tx1"/>
                  </w14:solidFill>
                </w14:textFill>
              </w:rPr>
              <w:t xml:space="preserve">Hệ thống quản lý chất lượng theo tiêu chuẩn quốc gia TCVN ISO 9009:2015 </w:t>
            </w:r>
            <w:r>
              <w:rPr>
                <w:color w:val="000000" w:themeColor="text1"/>
                <w:spacing w:val="2"/>
                <w:sz w:val="28"/>
                <w:szCs w:val="28"/>
                <w:lang w:val="nl-NL"/>
                <w14:textFill>
                  <w14:solidFill>
                    <w14:schemeClr w14:val="tx1"/>
                  </w14:solidFill>
                </w14:textFill>
              </w:rPr>
              <w:t xml:space="preserve">tại Ủy ban nhân dân </w:t>
            </w:r>
            <w:r>
              <w:rPr>
                <w:color w:val="000000" w:themeColor="text1"/>
                <w:spacing w:val="2"/>
                <w:sz w:val="28"/>
                <w:szCs w:val="28"/>
                <w14:textFill>
                  <w14:solidFill>
                    <w14:schemeClr w14:val="tx1"/>
                  </w14:solidFill>
                </w14:textFill>
              </w:rPr>
              <w:t>phường đạt hiêụ quả</w:t>
            </w:r>
            <w:r>
              <w:rPr>
                <w:color w:val="000000" w:themeColor="text1"/>
                <w:spacing w:val="2"/>
                <w:sz w:val="28"/>
                <w:szCs w:val="28"/>
                <w:lang w:val="nl-NL"/>
                <w14:textFill>
                  <w14:solidFill>
                    <w14:schemeClr w14:val="tx1"/>
                  </w14:solidFill>
                </w14:textFill>
              </w:rPr>
              <w:t xml:space="preserve"> cao</w:t>
            </w:r>
            <w:r>
              <w:rPr>
                <w:color w:val="000000" w:themeColor="text1"/>
                <w:spacing w:val="-6"/>
                <w:sz w:val="28"/>
                <w:szCs w:val="28"/>
                <w:lang w:val="nl-NL"/>
                <w14:textFill>
                  <w14:solidFill>
                    <w14:schemeClr w14:val="tx1"/>
                  </w14:solidFill>
                </w14:textFill>
              </w:rPr>
              <w:t>.</w:t>
            </w:r>
            <w:r>
              <w:rPr>
                <w:color w:val="000000" w:themeColor="text1"/>
                <w:spacing w:val="-6"/>
                <w:sz w:val="28"/>
                <w:szCs w:val="28"/>
                <w14:textFill>
                  <w14:solidFill>
                    <w14:schemeClr w14:val="tx1"/>
                  </w14:solidFill>
                </w14:textFill>
              </w:rPr>
              <w:t>Thái độ phục vụ tận tình, ý thức trách nhiệm trong thực thi công vụ của cán bộ, công chức đã tạo điều kiện thuận lợi, thông thoáng cho các cá nhân, tổ chức đến liên hệ làm việc, đem đến sự hài lòng cho người dân, góp phần phát triển kinh tế - xã hội.</w:t>
            </w:r>
          </w:p>
          <w:p>
            <w:pPr>
              <w:widowControl w:val="0"/>
              <w:spacing w:before="60" w:after="60"/>
              <w:ind w:firstLine="540"/>
              <w:jc w:val="both"/>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III. Phương hướng nhiệm vụ:</w:t>
            </w:r>
          </w:p>
          <w:p>
            <w:pPr>
              <w:spacing w:before="60" w:after="60"/>
              <w:ind w:firstLine="540"/>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Thực hiện báo cáo công tác kiểm soát TTHC theo Thông tư số 01/2020/TT-VPCP ngày 21/10/2020 của Bộ trưởng, Chủ nhiệm Văn phòng Chính phủ và báo cáo các công việc khác đã được giao nhiệm vụ tại các văn bản chỉ đạo của UBND thành phố về công tác kiểm soát TTHC.</w:t>
            </w:r>
          </w:p>
          <w:p>
            <w:pPr>
              <w:spacing w:before="60" w:after="60"/>
              <w:ind w:firstLine="540"/>
              <w:jc w:val="both"/>
              <w:rPr>
                <w:color w:val="000000" w:themeColor="text1"/>
                <w:spacing w:val="-6"/>
                <w:sz w:val="28"/>
                <w:szCs w:val="28"/>
                <w14:textFill>
                  <w14:solidFill>
                    <w14:schemeClr w14:val="tx1"/>
                  </w14:solidFill>
                </w14:textFill>
              </w:rPr>
            </w:pPr>
            <w:r>
              <w:rPr>
                <w:color w:val="000000" w:themeColor="text1"/>
                <w:spacing w:val="-6"/>
                <w:sz w:val="28"/>
                <w:szCs w:val="28"/>
                <w14:textFill>
                  <w14:solidFill>
                    <w14:schemeClr w14:val="tx1"/>
                  </w14:solidFill>
                </w14:textFill>
              </w:rPr>
              <w:t xml:space="preserve"> 2. Tiếp tục đăng ký rà soát, đơn giản hóa TTHC năm 202</w:t>
            </w:r>
            <w:r>
              <w:rPr>
                <w:color w:val="000000" w:themeColor="text1"/>
                <w:spacing w:val="-6"/>
                <w:sz w:val="28"/>
                <w:szCs w:val="28"/>
                <w:lang w:val="vi-VN"/>
                <w14:textFill>
                  <w14:solidFill>
                    <w14:schemeClr w14:val="tx1"/>
                  </w14:solidFill>
                </w14:textFill>
              </w:rPr>
              <w:t>2</w:t>
            </w:r>
            <w:r>
              <w:rPr>
                <w:color w:val="000000" w:themeColor="text1"/>
                <w:spacing w:val="-6"/>
                <w:sz w:val="28"/>
                <w:szCs w:val="28"/>
                <w14:textFill>
                  <w14:solidFill>
                    <w14:schemeClr w14:val="tx1"/>
                  </w14:solidFill>
                </w14:textFill>
              </w:rPr>
              <w:t>. Báo cáo UBND thành phố các bất cập, vướng mắc (nếu có) để bổ sung vào kế hoạch rà soát, đơn giản hóa TTHC.</w:t>
            </w:r>
          </w:p>
          <w:p>
            <w:pPr>
              <w:spacing w:before="60" w:after="60"/>
              <w:ind w:firstLine="540"/>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3. Tiếp tục thực hiện niêm yết công khai các danh mục TTHC thuộc thẩm quyền giải quyết của các cấp chính quyền trên địa bàn tỉnh.</w:t>
            </w:r>
          </w:p>
          <w:p>
            <w:pPr>
              <w:spacing w:before="60" w:after="60"/>
              <w:ind w:firstLine="540"/>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4. Duy trì cơ chế tiếp nhận, xử lý kiến nghị, phản ánh của cá nhân, tổ chức, doanh nghiệp về quy định thủ tục hành chính; về hành vi của cán bộ, công chức bằng hình thức thông báo công khai đường dây nóng, hòm thư góp ý. </w:t>
            </w:r>
          </w:p>
          <w:p>
            <w:pPr>
              <w:spacing w:before="60" w:after="60"/>
              <w:ind w:firstLine="540"/>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5. Tham gia các lớp tập huấn nghiệp vụ, các lớp tăng cường năng lực cán bộ, công chức là đầu mối kiểm soát TTHC. </w:t>
            </w:r>
          </w:p>
          <w:p>
            <w:pPr>
              <w:spacing w:before="60" w:after="60"/>
              <w:ind w:firstLine="540"/>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6. Tuyên truyền công tác kiểm soát thủ tục hành chính của cơ quan, đơn vị trên phương tiện thông tin để phản ánh kết quả công tác chỉ đạo điều hành, sáng kiến cải cách TTHC, ứng dụng công nghệ thông tin trong quá trình cải cách quy trình giải quyết TTHC</w:t>
            </w:r>
            <w:r>
              <w:rPr>
                <w:color w:val="000000" w:themeColor="text1"/>
                <w:sz w:val="28"/>
                <w:szCs w:val="28"/>
                <w:lang w:val="vi-VN"/>
                <w14:textFill>
                  <w14:solidFill>
                    <w14:schemeClr w14:val="tx1"/>
                  </w14:solidFill>
                </w14:textFill>
              </w:rPr>
              <w:t>...</w:t>
            </w:r>
          </w:p>
          <w:p>
            <w:pPr>
              <w:spacing w:before="60" w:after="60"/>
              <w:ind w:firstLine="547"/>
              <w:jc w:val="both"/>
              <w:rPr>
                <w:color w:val="000000" w:themeColor="text1"/>
                <w:sz w:val="28"/>
                <w:szCs w:val="28"/>
                <w:lang w:val="en-GB"/>
                <w14:textFill>
                  <w14:solidFill>
                    <w14:schemeClr w14:val="tx1"/>
                  </w14:solidFill>
                </w14:textFill>
              </w:rPr>
            </w:pPr>
            <w:r>
              <w:rPr>
                <w:color w:val="000000" w:themeColor="text1"/>
                <w:sz w:val="28"/>
                <w:szCs w:val="28"/>
                <w:lang w:val="en-GB"/>
                <w14:textFill>
                  <w14:solidFill>
                    <w14:schemeClr w14:val="tx1"/>
                  </w14:solidFill>
                </w14:textFill>
              </w:rPr>
              <w:t xml:space="preserve">Trên đây là báo cáo kết quả thực hiện công tác kiểm soát thủ tục hành chính Qúy III  năm 2022 của Ủy ban nhân dân </w:t>
            </w:r>
            <w:r>
              <w:rPr>
                <w:color w:val="000000" w:themeColor="text1"/>
                <w:sz w:val="28"/>
                <w:szCs w:val="28"/>
                <w14:textFill>
                  <w14:solidFill>
                    <w14:schemeClr w14:val="tx1"/>
                  </w14:solidFill>
                </w14:textFill>
              </w:rPr>
              <w:t>phường Thủy Vân</w:t>
            </w:r>
            <w:r>
              <w:rPr>
                <w:color w:val="000000" w:themeColor="text1"/>
                <w:sz w:val="28"/>
                <w:szCs w:val="28"/>
                <w:lang w:val="en-GB"/>
                <w14:textFill>
                  <w14:solidFill>
                    <w14:schemeClr w14:val="tx1"/>
                  </w14:solidFill>
                </w14:textFill>
              </w:rPr>
              <w:t>./.</w:t>
            </w:r>
          </w:p>
          <w:p>
            <w:pPr>
              <w:spacing w:before="60" w:after="60"/>
              <w:ind w:firstLine="547"/>
              <w:jc w:val="both"/>
              <w:rPr>
                <w:color w:val="000000" w:themeColor="text1"/>
                <w:sz w:val="20"/>
                <w:lang w:val="en-GB"/>
                <w14:textFill>
                  <w14:solidFill>
                    <w14:schemeClr w14:val="tx1"/>
                  </w14:solidFill>
                </w14:textFill>
              </w:rPr>
            </w:pPr>
            <w:r>
              <w:rPr>
                <w:color w:val="000000" w:themeColor="text1"/>
                <w:lang w:val="en-GB"/>
                <w14:textFill>
                  <w14:solidFill>
                    <w14:schemeClr w14:val="tx1"/>
                  </w14:solidFill>
                </w14:textFill>
              </w:rPr>
              <w:t xml:space="preserve"> </w:t>
            </w:r>
          </w:p>
          <w:tbl>
            <w:tblPr>
              <w:tblStyle w:val="3"/>
              <w:tblW w:w="9970" w:type="dxa"/>
              <w:jc w:val="center"/>
              <w:tblLayout w:type="fixed"/>
              <w:tblCellMar>
                <w:top w:w="0" w:type="dxa"/>
                <w:left w:w="108" w:type="dxa"/>
                <w:bottom w:w="0" w:type="dxa"/>
                <w:right w:w="108" w:type="dxa"/>
              </w:tblCellMar>
            </w:tblPr>
            <w:tblGrid>
              <w:gridCol w:w="4981"/>
              <w:gridCol w:w="4989"/>
            </w:tblGrid>
            <w:tr>
              <w:tblPrEx>
                <w:tblCellMar>
                  <w:top w:w="0" w:type="dxa"/>
                  <w:left w:w="108" w:type="dxa"/>
                  <w:bottom w:w="0" w:type="dxa"/>
                  <w:right w:w="108" w:type="dxa"/>
                </w:tblCellMar>
              </w:tblPrEx>
              <w:trPr>
                <w:trHeight w:val="2259" w:hRule="atLeast"/>
                <w:jc w:val="center"/>
              </w:trPr>
              <w:tc>
                <w:tcPr>
                  <w:tcW w:w="4981" w:type="dxa"/>
                </w:tcPr>
                <w:p>
                  <w:pPr>
                    <w:pStyle w:val="4"/>
                    <w:tabs>
                      <w:tab w:val="left" w:pos="567"/>
                      <w:tab w:val="left" w:pos="709"/>
                    </w:tabs>
                    <w:jc w:val="both"/>
                    <w:rPr>
                      <w:b/>
                      <w:color w:val="000000" w:themeColor="text1"/>
                      <w:szCs w:val="22"/>
                      <w:lang w:val="it-IT"/>
                      <w14:textFill>
                        <w14:solidFill>
                          <w14:schemeClr w14:val="tx1"/>
                        </w14:solidFill>
                      </w14:textFill>
                    </w:rPr>
                  </w:pPr>
                  <w:r>
                    <w:rPr>
                      <w:i/>
                      <w:iCs/>
                      <w:color w:val="000000" w:themeColor="text1"/>
                      <w:szCs w:val="22"/>
                      <w:lang w:val="it-IT"/>
                      <w14:textFill>
                        <w14:solidFill>
                          <w14:schemeClr w14:val="tx1"/>
                        </w14:solidFill>
                      </w14:textFill>
                    </w:rPr>
                    <w:t xml:space="preserve">     </w:t>
                  </w:r>
                  <w:r>
                    <w:rPr>
                      <w:b/>
                      <w:i/>
                      <w:iCs/>
                      <w:color w:val="000000" w:themeColor="text1"/>
                      <w:szCs w:val="22"/>
                      <w:lang w:val="it-IT"/>
                      <w14:textFill>
                        <w14:solidFill>
                          <w14:schemeClr w14:val="tx1"/>
                        </w14:solidFill>
                      </w14:textFill>
                    </w:rPr>
                    <w:t>Nơi nhận:</w:t>
                  </w:r>
                  <w:r>
                    <w:rPr>
                      <w:b/>
                      <w:color w:val="000000" w:themeColor="text1"/>
                      <w:szCs w:val="22"/>
                      <w:lang w:val="it-IT"/>
                      <w14:textFill>
                        <w14:solidFill>
                          <w14:schemeClr w14:val="tx1"/>
                        </w14:solidFill>
                      </w14:textFill>
                    </w:rPr>
                    <w:t xml:space="preserve">                                                                      </w:t>
                  </w:r>
                </w:p>
                <w:p>
                  <w:pPr>
                    <w:tabs>
                      <w:tab w:val="left" w:pos="567"/>
                      <w:tab w:val="left" w:pos="709"/>
                    </w:tabs>
                    <w:rPr>
                      <w:color w:val="000000" w:themeColor="text1"/>
                      <w:sz w:val="22"/>
                      <w:szCs w:val="22"/>
                      <w:lang w:val="it-IT"/>
                      <w14:textFill>
                        <w14:solidFill>
                          <w14:schemeClr w14:val="tx1"/>
                        </w14:solidFill>
                      </w14:textFill>
                    </w:rPr>
                  </w:pPr>
                  <w:r>
                    <w:rPr>
                      <w:color w:val="000000" w:themeColor="text1"/>
                      <w:sz w:val="22"/>
                      <w:szCs w:val="22"/>
                      <w:lang w:val="it-IT"/>
                      <w14:textFill>
                        <w14:solidFill>
                          <w14:schemeClr w14:val="tx1"/>
                        </w14:solidFill>
                      </w14:textFill>
                    </w:rPr>
                    <w:t xml:space="preserve">    - UBND thành phố  (b/c);    </w:t>
                  </w:r>
                </w:p>
                <w:p>
                  <w:pPr>
                    <w:tabs>
                      <w:tab w:val="left" w:pos="567"/>
                      <w:tab w:val="left" w:pos="709"/>
                    </w:tabs>
                    <w:rPr>
                      <w:color w:val="000000" w:themeColor="text1"/>
                      <w:sz w:val="22"/>
                      <w:szCs w:val="22"/>
                      <w:lang w:val="it-IT"/>
                      <w14:textFill>
                        <w14:solidFill>
                          <w14:schemeClr w14:val="tx1"/>
                        </w14:solidFill>
                      </w14:textFill>
                    </w:rPr>
                  </w:pPr>
                  <w:r>
                    <w:rPr>
                      <w:color w:val="000000" w:themeColor="text1"/>
                      <w:sz w:val="22"/>
                      <w:szCs w:val="22"/>
                      <w:lang w:val="it-IT"/>
                      <w14:textFill>
                        <w14:solidFill>
                          <w14:schemeClr w14:val="tx1"/>
                        </w14:solidFill>
                      </w14:textFill>
                    </w:rPr>
                    <w:t xml:space="preserve">-  - Phòng Nội vụ;                                                             </w:t>
                  </w:r>
                </w:p>
                <w:p>
                  <w:pPr>
                    <w:jc w:val="both"/>
                    <w:rPr>
                      <w:color w:val="000000" w:themeColor="text1"/>
                      <w:lang w:val="it-IT"/>
                      <w14:textFill>
                        <w14:solidFill>
                          <w14:schemeClr w14:val="tx1"/>
                        </w14:solidFill>
                      </w14:textFill>
                    </w:rPr>
                  </w:pPr>
                  <w:r>
                    <w:rPr>
                      <w:color w:val="000000" w:themeColor="text1"/>
                      <w:sz w:val="22"/>
                      <w:szCs w:val="22"/>
                      <w:lang w:val="it-IT"/>
                      <w14:textFill>
                        <w14:solidFill>
                          <w14:schemeClr w14:val="tx1"/>
                        </w14:solidFill>
                      </w14:textFill>
                    </w:rPr>
                    <w:t xml:space="preserve">    - Lưu: V</w:t>
                  </w:r>
                  <w:r>
                    <w:rPr>
                      <w:color w:val="000000" w:themeColor="text1"/>
                      <w:sz w:val="22"/>
                      <w:szCs w:val="22"/>
                      <w:lang w:val="vi-VN"/>
                      <w14:textFill>
                        <w14:solidFill>
                          <w14:schemeClr w14:val="tx1"/>
                        </w14:solidFill>
                      </w14:textFill>
                    </w:rPr>
                    <w:t>P</w:t>
                  </w:r>
                  <w:r>
                    <w:rPr>
                      <w:color w:val="000000" w:themeColor="text1"/>
                      <w:sz w:val="22"/>
                      <w:szCs w:val="22"/>
                      <w:lang w:val="it-IT"/>
                      <w14:textFill>
                        <w14:solidFill>
                          <w14:schemeClr w14:val="tx1"/>
                        </w14:solidFill>
                      </w14:textFill>
                    </w:rPr>
                    <w:t xml:space="preserve"> .</w:t>
                  </w:r>
                </w:p>
              </w:tc>
              <w:tc>
                <w:tcPr>
                  <w:tcW w:w="4989" w:type="dxa"/>
                </w:tcPr>
                <w:p>
                  <w:pPr>
                    <w:jc w:val="center"/>
                    <w:rPr>
                      <w:b/>
                      <w:color w:val="000000" w:themeColor="text1"/>
                      <w:sz w:val="28"/>
                      <w:szCs w:val="28"/>
                      <w:lang w:val="it-IT"/>
                      <w14:textFill>
                        <w14:solidFill>
                          <w14:schemeClr w14:val="tx1"/>
                        </w14:solidFill>
                      </w14:textFill>
                    </w:rPr>
                  </w:pPr>
                  <w:r>
                    <w:rPr>
                      <w:b/>
                      <w:color w:val="000000" w:themeColor="text1"/>
                      <w:sz w:val="28"/>
                      <w:szCs w:val="28"/>
                      <w:lang w:val="it-IT"/>
                      <w14:textFill>
                        <w14:solidFill>
                          <w14:schemeClr w14:val="tx1"/>
                        </w14:solidFill>
                      </w14:textFill>
                    </w:rPr>
                    <w:t>TM. ỦY BAN NHÂN DÂN</w:t>
                  </w:r>
                </w:p>
                <w:p>
                  <w:pPr>
                    <w:jc w:val="center"/>
                    <w:rPr>
                      <w:b/>
                      <w:color w:val="000000" w:themeColor="text1"/>
                      <w:sz w:val="28"/>
                      <w:szCs w:val="28"/>
                      <w:lang w:val="it-IT"/>
                      <w14:textFill>
                        <w14:solidFill>
                          <w14:schemeClr w14:val="tx1"/>
                        </w14:solidFill>
                      </w14:textFill>
                    </w:rPr>
                  </w:pPr>
                  <w:r>
                    <w:rPr>
                      <w:b/>
                      <w:color w:val="000000" w:themeColor="text1"/>
                      <w:sz w:val="28"/>
                      <w:szCs w:val="28"/>
                      <w:lang w:val="it-IT"/>
                      <w14:textFill>
                        <w14:solidFill>
                          <w14:schemeClr w14:val="tx1"/>
                        </w14:solidFill>
                      </w14:textFill>
                    </w:rPr>
                    <w:t>KT. CHỦ TỊCH</w:t>
                  </w:r>
                </w:p>
                <w:p>
                  <w:pPr>
                    <w:jc w:val="center"/>
                    <w:rPr>
                      <w:b/>
                      <w:color w:val="000000" w:themeColor="text1"/>
                      <w:sz w:val="28"/>
                      <w:szCs w:val="28"/>
                      <w:lang w:val="it-IT"/>
                      <w14:textFill>
                        <w14:solidFill>
                          <w14:schemeClr w14:val="tx1"/>
                        </w14:solidFill>
                      </w14:textFill>
                    </w:rPr>
                  </w:pPr>
                  <w:r>
                    <w:rPr>
                      <w:b/>
                      <w:color w:val="000000" w:themeColor="text1"/>
                      <w:sz w:val="28"/>
                      <w:szCs w:val="28"/>
                      <w:lang w:val="it-IT"/>
                      <w14:textFill>
                        <w14:solidFill>
                          <w14:schemeClr w14:val="tx1"/>
                        </w14:solidFill>
                      </w14:textFill>
                    </w:rPr>
                    <w:t>PHÓ CHỦ TỊCH</w:t>
                  </w:r>
                </w:p>
                <w:p>
                  <w:pPr>
                    <w:jc w:val="center"/>
                    <w:rPr>
                      <w:color w:val="000000" w:themeColor="text1"/>
                      <w:lang w:val="it-IT"/>
                      <w14:textFill>
                        <w14:solidFill>
                          <w14:schemeClr w14:val="tx1"/>
                        </w14:solidFill>
                      </w14:textFill>
                    </w:rPr>
                  </w:pPr>
                </w:p>
                <w:p>
                  <w:pPr>
                    <w:jc w:val="center"/>
                    <w:rPr>
                      <w:color w:val="000000" w:themeColor="text1"/>
                      <w:lang w:val="it-IT"/>
                      <w14:textFill>
                        <w14:solidFill>
                          <w14:schemeClr w14:val="tx1"/>
                        </w14:solidFill>
                      </w14:textFill>
                    </w:rPr>
                  </w:pPr>
                </w:p>
                <w:p>
                  <w:pPr>
                    <w:jc w:val="center"/>
                    <w:rPr>
                      <w:b/>
                      <w:color w:val="000000" w:themeColor="text1"/>
                      <w:lang w:val="vi-VN"/>
                      <w14:textFill>
                        <w14:solidFill>
                          <w14:schemeClr w14:val="tx1"/>
                        </w14:solidFill>
                      </w14:textFill>
                    </w:rPr>
                  </w:pPr>
                </w:p>
                <w:p>
                  <w:pPr>
                    <w:jc w:val="center"/>
                    <w:rPr>
                      <w:b/>
                      <w:color w:val="000000" w:themeColor="text1"/>
                      <w:lang w:val="vi-VN"/>
                      <w14:textFill>
                        <w14:solidFill>
                          <w14:schemeClr w14:val="tx1"/>
                        </w14:solidFill>
                      </w14:textFill>
                    </w:rPr>
                  </w:pPr>
                </w:p>
                <w:p>
                  <w:pPr>
                    <w:jc w:val="center"/>
                    <w:rPr>
                      <w:b/>
                      <w:color w:val="000000" w:themeColor="text1"/>
                      <w14:textFill>
                        <w14:solidFill>
                          <w14:schemeClr w14:val="tx1"/>
                        </w14:solidFill>
                      </w14:textFill>
                    </w:rPr>
                  </w:pPr>
                </w:p>
                <w:p>
                  <w:pPr>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Nguyễn Kim Thành Trí</w:t>
                  </w:r>
                </w:p>
              </w:tc>
            </w:tr>
          </w:tbl>
          <w:p>
            <w:pPr>
              <w:rPr>
                <w:color w:val="000000" w:themeColor="text1"/>
                <w14:textFill>
                  <w14:solidFill>
                    <w14:schemeClr w14:val="tx1"/>
                  </w14:solidFill>
                </w14:textFill>
              </w:rPr>
            </w:pPr>
          </w:p>
        </w:tc>
        <w:tc>
          <w:tcPr>
            <w:tcW w:w="1098" w:type="dxa"/>
          </w:tcPr>
          <w:p>
            <w:pPr>
              <w:jc w:val="center"/>
              <w:rPr>
                <w:i/>
                <w:color w:val="000000" w:themeColor="text1"/>
                <w14:textFill>
                  <w14:solidFill>
                    <w14:schemeClr w14:val="tx1"/>
                  </w14:solidFill>
                </w14:textFill>
              </w:rPr>
            </w:pPr>
          </w:p>
        </w:tc>
      </w:tr>
      <w:tr>
        <w:tblPrEx>
          <w:tblCellMar>
            <w:top w:w="0" w:type="dxa"/>
            <w:left w:w="108" w:type="dxa"/>
            <w:bottom w:w="0" w:type="dxa"/>
            <w:right w:w="108" w:type="dxa"/>
          </w:tblCellMar>
        </w:tblPrEx>
        <w:trPr>
          <w:trHeight w:val="5742" w:hRule="atLeast"/>
        </w:trPr>
        <w:tc>
          <w:tcPr>
            <w:tcW w:w="9606" w:type="dxa"/>
          </w:tcPr>
          <w:p>
            <w:pPr>
              <w:jc w:val="center"/>
              <w:rPr>
                <w:b/>
                <w:color w:val="000000" w:themeColor="text1"/>
                <w:sz w:val="18"/>
                <w:szCs w:val="28"/>
                <w14:textFill>
                  <w14:solidFill>
                    <w14:schemeClr w14:val="tx1"/>
                  </w14:solidFill>
                </w14:textFill>
              </w:rPr>
            </w:pPr>
          </w:p>
        </w:tc>
        <w:tc>
          <w:tcPr>
            <w:tcW w:w="1098" w:type="dxa"/>
          </w:tcPr>
          <w:p>
            <w:pPr>
              <w:jc w:val="center"/>
              <w:rPr>
                <w:i/>
                <w:color w:val="000000" w:themeColor="text1"/>
                <w14:textFill>
                  <w14:solidFill>
                    <w14:schemeClr w14:val="tx1"/>
                  </w14:solidFill>
                </w14:textFill>
              </w:rPr>
            </w:pPr>
          </w:p>
        </w:tc>
      </w:tr>
    </w:tbl>
    <w:p>
      <w:pPr>
        <w:rPr>
          <w:color w:val="000000" w:themeColor="text1"/>
          <w14:textFill>
            <w14:solidFill>
              <w14:schemeClr w14:val="tx1"/>
            </w14:solidFill>
          </w14:textFill>
        </w:rPr>
      </w:pPr>
    </w:p>
    <w:p>
      <w:pPr>
        <w:jc w:val="center"/>
        <w:rPr>
          <w:b/>
          <w:color w:val="000000" w:themeColor="text1"/>
          <w:sz w:val="28"/>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sectPr>
      <w:footerReference r:id="rId5" w:type="default"/>
      <w:pgSz w:w="11907" w:h="16840"/>
      <w:pgMar w:top="1134" w:right="1134" w:bottom="1134" w:left="141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1F"/>
    <w:rsid w:val="000A66D0"/>
    <w:rsid w:val="001839D7"/>
    <w:rsid w:val="002D39D9"/>
    <w:rsid w:val="00371767"/>
    <w:rsid w:val="00567C7B"/>
    <w:rsid w:val="007C0203"/>
    <w:rsid w:val="00953765"/>
    <w:rsid w:val="009E631F"/>
    <w:rsid w:val="00DB4FB1"/>
    <w:rsid w:val="00E31A0D"/>
    <w:rsid w:val="00FC5116"/>
    <w:rsid w:val="00FF47ED"/>
    <w:rsid w:val="1BDA7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link w:val="7"/>
    <w:uiPriority w:val="0"/>
    <w:pPr>
      <w:spacing w:after="120"/>
    </w:pPr>
  </w:style>
  <w:style w:type="paragraph" w:styleId="5">
    <w:name w:val="footer"/>
    <w:basedOn w:val="1"/>
    <w:link w:val="6"/>
    <w:qFormat/>
    <w:uiPriority w:val="0"/>
    <w:pPr>
      <w:tabs>
        <w:tab w:val="center" w:pos="4320"/>
        <w:tab w:val="right" w:pos="8640"/>
      </w:tabs>
    </w:pPr>
  </w:style>
  <w:style w:type="character" w:customStyle="1" w:styleId="6">
    <w:name w:val="Footer Char"/>
    <w:basedOn w:val="2"/>
    <w:link w:val="5"/>
    <w:qFormat/>
    <w:uiPriority w:val="0"/>
    <w:rPr>
      <w:rFonts w:ascii="Times New Roman" w:hAnsi="Times New Roman" w:eastAsia="Times New Roman" w:cs="Times New Roman"/>
      <w:sz w:val="24"/>
      <w:szCs w:val="24"/>
    </w:rPr>
  </w:style>
  <w:style w:type="character" w:customStyle="1" w:styleId="7">
    <w:name w:val="Body Text Char"/>
    <w:basedOn w:val="2"/>
    <w:link w:val="4"/>
    <w:qFormat/>
    <w:uiPriority w:val="0"/>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855</Words>
  <Characters>4877</Characters>
  <Lines>40</Lines>
  <Paragraphs>11</Paragraphs>
  <TotalTime>65</TotalTime>
  <ScaleCrop>false</ScaleCrop>
  <LinksUpToDate>false</LinksUpToDate>
  <CharactersWithSpaces>5721</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2022-09-05T04:12:00Z</dcterms:created>
  <dc:creator>Admin</dc:creator>
  <cp:lastModifiedBy>Administrator</cp:lastModifiedBy>
  <dcterms:modified xsi:type="dcterms:W3CDTF">2022-11-02T06:48:20Z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B7DC1F5F26C74DD28F010D0CB9600F5D</vt:lpwstr>
  </property>
</Properties>
</file>